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18" w:rsidRPr="002A2797" w:rsidRDefault="002A2797" w:rsidP="00010FA6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CS"/>
        </w:rPr>
        <w:t>IZJAVA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USKLAĐENOSTI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PROPISA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010FA6" w:rsidRPr="002A2797" w:rsidRDefault="002A2797" w:rsidP="00010FA6">
      <w:pPr>
        <w:shd w:val="clear" w:color="auto" w:fill="FFFFFF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PROPISIMA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UNIJE</w:t>
      </w:r>
    </w:p>
    <w:p w:rsidR="00010FA6" w:rsidRPr="002A2797" w:rsidRDefault="00010FA6" w:rsidP="00010FA6">
      <w:pPr>
        <w:shd w:val="clear" w:color="auto" w:fill="FFFFFF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010FA6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Ovlašćeni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predlagač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3064C9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83384" w:rsidRPr="002A2797">
        <w:rPr>
          <w:rFonts w:ascii="Times New Roman" w:hAnsi="Times New Roman"/>
          <w:noProof/>
          <w:sz w:val="24"/>
          <w:szCs w:val="24"/>
          <w:lang w:val="sr-Latn-CS"/>
        </w:rPr>
        <w:t>–</w:t>
      </w:r>
      <w:r w:rsidR="003064C9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010FA6" w:rsidRPr="002A2797" w:rsidRDefault="00A83384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  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Obrađivač</w:t>
      </w:r>
      <w:r w:rsidR="003064C9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–</w:t>
      </w:r>
      <w:r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privrede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010FA6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propisa</w:t>
      </w:r>
    </w:p>
    <w:p w:rsidR="00A83384" w:rsidRPr="002A2797" w:rsidRDefault="003064C9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Predlog</w:t>
      </w:r>
      <w:r w:rsidR="00A83384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izmenama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dopunama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b/>
          <w:noProof/>
          <w:sz w:val="24"/>
          <w:szCs w:val="24"/>
          <w:lang w:val="sr-Latn-CS"/>
        </w:rPr>
        <w:t>stečaju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010FA6" w:rsidRPr="002A2797" w:rsidRDefault="0094478E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Draft of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the Law on Amendements and Supplements to the Law on Bankruptcy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A83384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Usklađenost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stabilizaciji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pridruživanju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Evropskih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zajednica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njihovih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država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članica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83/08) (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Prelaznog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trgovinskim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pitanjima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zajednice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83/08) (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Prelazni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>):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Prelaznog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normativnu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sadržinu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Odredbe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Naslov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VI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Usklađivanje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propisa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primena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prava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pravila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konkurencije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72</w:t>
      </w:r>
      <w:r w:rsidR="00A8074D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Naslov</w:t>
      </w:r>
      <w:r w:rsidR="00A8074D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VIII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Politike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saradnje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91.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Bankarstvo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osiguranje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druge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usluge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Aneks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VI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Poslovno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nastanjivanje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usluge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Prelaznog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A8074D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najviše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šest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godina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Ocena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ispunjenosti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proizlaze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Prelaznog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A8074D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Ispunjava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potpunosti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vezi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obezbeđenju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videti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napomenu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pod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tačkom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ove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izjave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) 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neispunjavanje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proizlaze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Prelaznog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A8074D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Nema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Veza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Nacionalnim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programom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usvajanje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tekovina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Nacionalnim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programom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usvajanje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pravnih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tekovina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unije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NPAA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delu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Sposobnost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preuzimanja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obaveza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članstva</w:t>
      </w:r>
      <w:r w:rsidR="00A8074D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A8074D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E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vropskoj</w:t>
      </w:r>
      <w:r w:rsidR="00D263A4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uniji</w:t>
      </w:r>
      <w:r w:rsidR="00A8074D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3.9.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Finansijske</w:t>
      </w:r>
      <w:r w:rsidR="00A8074D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usluge</w:t>
      </w:r>
      <w:r w:rsidR="00A8074D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3.9.3.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Infrastruktura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finansijskih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tržišta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predviđeno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je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utvrđivanje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Predloga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obezbeđenju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time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implicitno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neophodnih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dopuna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stečaju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rokom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drugi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kvartal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2018.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godine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. 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Usklađenost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Navođenje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primarnih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ocene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D263A4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NAPOMENA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: 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Navedeni</w:t>
      </w:r>
      <w:r w:rsidR="00D263A4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</w:t>
      </w:r>
      <w:r w:rsidR="00D263A4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donosi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isključivo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radi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primene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pojedinih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rešenja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obezbeđenju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koji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potpunosti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usklađen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Direktivom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finansijskim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kolateralima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– </w:t>
      </w:r>
      <w:r w:rsidR="00010FA6" w:rsidRPr="002A2797">
        <w:rPr>
          <w:rStyle w:val="Strong"/>
          <w:rFonts w:ascii="Times New Roman" w:hAnsi="Times New Roman"/>
          <w:i/>
          <w:noProof/>
          <w:sz w:val="24"/>
          <w:szCs w:val="24"/>
          <w:lang w:val="sr-Latn-CS"/>
        </w:rPr>
        <w:t xml:space="preserve">Directive 2002/47/EC of the European Parliament and of the Council of 6 June 2002 on financial collateral arrangements,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za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koji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je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sačinjena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Izjava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o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propisa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sa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propisima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Evropske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unije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i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Tabela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propisa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Ovim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zakonom</w:t>
      </w:r>
      <w:r w:rsidR="00D263A4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ne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vrši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se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dakle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propisima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Evropske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unije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primarni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sekundarni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izvori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iz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oblasti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stečaja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privrednih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>subjekata</w:t>
      </w:r>
      <w:r w:rsidR="00010FA6" w:rsidRPr="002A2797">
        <w:rPr>
          <w:rStyle w:val="Strong"/>
          <w:rFonts w:ascii="Times New Roman" w:hAnsi="Times New Roman"/>
          <w:noProof/>
          <w:sz w:val="24"/>
          <w:szCs w:val="24"/>
          <w:lang w:val="sr-Latn-CS"/>
        </w:rPr>
        <w:t xml:space="preserve">.   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Navođenje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sekundarnih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ocene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D263A4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  </w:t>
      </w:r>
      <w:r w:rsidR="00D263A4" w:rsidRPr="002A2797">
        <w:rPr>
          <w:rFonts w:ascii="Times New Roman" w:hAnsi="Times New Roman"/>
          <w:noProof/>
          <w:sz w:val="24"/>
          <w:szCs w:val="24"/>
          <w:lang w:val="sr-Latn-CS"/>
        </w:rPr>
        <w:t>/</w:t>
      </w:r>
    </w:p>
    <w:p w:rsidR="00010FA6" w:rsidRPr="002A2797" w:rsidRDefault="002A2797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Navođenje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izvora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D263A4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  </w:t>
      </w:r>
      <w:r w:rsidR="00D263A4" w:rsidRPr="002A2797">
        <w:rPr>
          <w:rFonts w:ascii="Times New Roman" w:hAnsi="Times New Roman"/>
          <w:noProof/>
          <w:sz w:val="24"/>
          <w:szCs w:val="24"/>
          <w:lang w:val="sr-Latn-CS"/>
        </w:rPr>
        <w:t>/</w:t>
      </w:r>
    </w:p>
    <w:p w:rsidR="00010FA6" w:rsidRPr="002A2797" w:rsidRDefault="002A2797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g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neusklađenost</w:t>
      </w:r>
      <w:r w:rsidR="00D263A4" w:rsidRPr="002A2797">
        <w:rPr>
          <w:rFonts w:ascii="Times New Roman" w:hAnsi="Times New Roman"/>
          <w:noProof/>
          <w:sz w:val="24"/>
          <w:szCs w:val="24"/>
          <w:lang w:val="sr-Latn-CS"/>
        </w:rPr>
        <w:t>,</w:t>
      </w:r>
    </w:p>
    <w:p w:rsidR="00010FA6" w:rsidRPr="002A2797" w:rsidRDefault="00D263A4" w:rsidP="00D263A4">
      <w:pPr>
        <w:tabs>
          <w:tab w:val="left" w:pos="142"/>
        </w:tabs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  /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ab/>
      </w:r>
    </w:p>
    <w:p w:rsidR="00010FA6" w:rsidRPr="002A2797" w:rsidRDefault="002A2797" w:rsidP="00010FA6">
      <w:pPr>
        <w:jc w:val="both"/>
        <w:rPr>
          <w:rFonts w:ascii="Times New Roman" w:hAnsi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Rok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potpune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010FA6" w:rsidRPr="002A2797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010FA6" w:rsidRPr="002A2797" w:rsidRDefault="00D263A4" w:rsidP="00D263A4">
      <w:pPr>
        <w:tabs>
          <w:tab w:val="left" w:pos="142"/>
        </w:tabs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  /   </w:t>
      </w:r>
    </w:p>
    <w:p w:rsidR="00010FA6" w:rsidRPr="002A2797" w:rsidRDefault="00010FA6" w:rsidP="00010FA6">
      <w:pPr>
        <w:spacing w:after="1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5. 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Ukoliko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nadležnosti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materiji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reguliše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/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postoje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odgovarajući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sekundarni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izvori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Evropske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unije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kojima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obezbediti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usklađenost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obrazložiti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tu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činjenicu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ovom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slučaju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popunjavati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Tabelu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usklađenosti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Tabelu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usklađenosti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nije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potrebno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popunjavati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ukoliko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domaćim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propisom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prenos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odredaba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sekundarnog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izvora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Evropske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unije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već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isključivo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primena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ili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sprovođenje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nekog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zahteva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proizlazi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odredbe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sekundarnog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izvora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prava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(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npr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Predlogom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odluke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izradi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strateške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procene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uticaja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biće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sprovedena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obaveza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iz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člana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4.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Direktive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2001/42/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EZ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ali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se</w:t>
      </w:r>
      <w:r w:rsidR="003064C9"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ne</w:t>
      </w:r>
      <w:r w:rsidR="003064C9"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vrši</w:t>
      </w:r>
      <w:r w:rsidR="003064C9"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3064C9"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prenos</w:t>
      </w:r>
      <w:r w:rsidR="003064C9"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te</w:t>
      </w:r>
      <w:r w:rsidR="003064C9"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odredbe</w:t>
      </w:r>
      <w:r w:rsidR="003064C9"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Direktive</w:t>
      </w:r>
      <w:r w:rsidRPr="002A279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).  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Tabela</w:t>
      </w:r>
      <w:r w:rsidR="00010FA6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usklađenosti</w:t>
      </w:r>
      <w:r w:rsidR="00010FA6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za</w:t>
      </w:r>
      <w:r w:rsidR="00010FA6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ovaj</w:t>
      </w:r>
      <w:r w:rsidR="00010FA6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propis</w:t>
      </w:r>
      <w:r w:rsidR="00010FA6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dostavljena</w:t>
      </w:r>
      <w:r w:rsidR="00AF5785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je</w:t>
      </w:r>
      <w:r w:rsidR="00AF5785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uz</w:t>
      </w:r>
      <w:r w:rsidR="00AF5785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Predlog</w:t>
      </w:r>
      <w:r w:rsidR="00AF5785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zakona</w:t>
      </w:r>
      <w:r w:rsidR="00AF5785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o</w:t>
      </w:r>
      <w:r w:rsidR="00AF5785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finansijskom</w:t>
      </w:r>
      <w:r w:rsidR="00010FA6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obezbeđenju</w:t>
      </w:r>
      <w:r w:rsidR="00010FA6" w:rsidRPr="002A279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.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010FA6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6.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navedeni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izvori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prevedeni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srpski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jezik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?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Direktiva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finansijskim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kolateralima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prevedena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srpski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jezik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.  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010FA6" w:rsidP="00010FA6">
      <w:pPr>
        <w:spacing w:after="1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7.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preveden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neki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jezik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>?</w:t>
      </w: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Ne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8.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Saradnja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Evropskom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unijom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učešće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konsultanata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izradi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njihovo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mišljenje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2A279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2A2797">
        <w:rPr>
          <w:rFonts w:ascii="Times New Roman" w:hAnsi="Times New Roman"/>
          <w:noProof/>
          <w:sz w:val="24"/>
          <w:szCs w:val="24"/>
          <w:lang w:val="sr-Latn-CS"/>
        </w:rPr>
        <w:t>usklađenosti</w:t>
      </w:r>
    </w:p>
    <w:p w:rsidR="00010FA6" w:rsidRPr="002A2797" w:rsidRDefault="00010FA6" w:rsidP="00010FA6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10FA6" w:rsidRPr="002A2797" w:rsidRDefault="002A2797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Pribavljeno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mišljenje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Evropske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komisije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Nacrt</w:t>
      </w:r>
      <w:r w:rsidR="00C85A0B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finansijskom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obezbeđenju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domaći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strani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konsultanti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nisu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učestvovali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u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izradi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ovog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010FA6" w:rsidRPr="002A2797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. </w:t>
      </w:r>
    </w:p>
    <w:p w:rsidR="00010FA6" w:rsidRPr="002A2797" w:rsidRDefault="00010FA6" w:rsidP="00010FA6">
      <w:pPr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B5266C" w:rsidRPr="002A2797" w:rsidRDefault="00B5266C">
      <w:pPr>
        <w:rPr>
          <w:rFonts w:ascii="Times New Roman" w:hAnsi="Times New Roman"/>
          <w:noProof/>
          <w:sz w:val="24"/>
          <w:szCs w:val="24"/>
          <w:lang w:val="sr-Latn-CS"/>
        </w:rPr>
      </w:pPr>
    </w:p>
    <w:sectPr w:rsidR="00B5266C" w:rsidRPr="002A2797" w:rsidSect="00D06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851" w:footer="397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C3" w:rsidRDefault="00A460C3">
      <w:r>
        <w:separator/>
      </w:r>
    </w:p>
  </w:endnote>
  <w:endnote w:type="continuationSeparator" w:id="0">
    <w:p w:rsidR="00A460C3" w:rsidRDefault="00A4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Ciri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97" w:rsidRDefault="002A2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97" w:rsidRDefault="002A2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97" w:rsidRDefault="002A2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C3" w:rsidRDefault="00A460C3">
      <w:r>
        <w:separator/>
      </w:r>
    </w:p>
  </w:footnote>
  <w:footnote w:type="continuationSeparator" w:id="0">
    <w:p w:rsidR="00A460C3" w:rsidRDefault="00A4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A7" w:rsidRDefault="00AC6CB7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E81DA7" w:rsidRDefault="00A46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A7" w:rsidRPr="002A2797" w:rsidRDefault="00AC6CB7" w:rsidP="00FD2C3D">
    <w:pPr>
      <w:pStyle w:val="Header"/>
      <w:framePr w:wrap="around" w:vAnchor="text" w:hAnchor="margin" w:xAlign="center" w:y="1"/>
      <w:rPr>
        <w:rFonts w:ascii="Arial" w:hAnsi="Arial" w:cs="Arial"/>
        <w:noProof/>
        <w:sz w:val="22"/>
        <w:szCs w:val="22"/>
        <w:lang w:val="sr-Latn-CS"/>
      </w:rPr>
    </w:pPr>
    <w:r w:rsidRPr="002A2797">
      <w:rPr>
        <w:rFonts w:ascii="Arial" w:hAnsi="Arial" w:cs="Arial"/>
        <w:noProof/>
        <w:sz w:val="22"/>
        <w:szCs w:val="22"/>
        <w:lang w:val="sr-Latn-CS"/>
      </w:rPr>
      <w:t xml:space="preserve">- </w:t>
    </w:r>
    <w:r w:rsidRPr="002A2797">
      <w:rPr>
        <w:rFonts w:ascii="Arial" w:hAnsi="Arial" w:cs="Arial"/>
        <w:noProof/>
        <w:sz w:val="22"/>
        <w:szCs w:val="22"/>
        <w:lang w:val="sr-Latn-CS"/>
      </w:rPr>
      <w:fldChar w:fldCharType="begin"/>
    </w:r>
    <w:r w:rsidRPr="002A2797">
      <w:rPr>
        <w:rFonts w:ascii="Arial" w:hAnsi="Arial" w:cs="Arial"/>
        <w:noProof/>
        <w:sz w:val="22"/>
        <w:szCs w:val="22"/>
        <w:lang w:val="sr-Latn-CS"/>
      </w:rPr>
      <w:instrText xml:space="preserve">PAGE  </w:instrText>
    </w:r>
    <w:r w:rsidRPr="002A2797">
      <w:rPr>
        <w:rFonts w:ascii="Arial" w:hAnsi="Arial" w:cs="Arial"/>
        <w:noProof/>
        <w:sz w:val="22"/>
        <w:szCs w:val="22"/>
        <w:lang w:val="sr-Latn-CS"/>
      </w:rPr>
      <w:fldChar w:fldCharType="separate"/>
    </w:r>
    <w:r w:rsidR="002A2797">
      <w:rPr>
        <w:rFonts w:ascii="Arial" w:hAnsi="Arial" w:cs="Arial"/>
        <w:noProof/>
        <w:sz w:val="22"/>
        <w:szCs w:val="22"/>
        <w:lang w:val="sr-Latn-CS"/>
      </w:rPr>
      <w:t>2</w:t>
    </w:r>
    <w:r w:rsidRPr="002A2797">
      <w:rPr>
        <w:rFonts w:ascii="Arial" w:hAnsi="Arial" w:cs="Arial"/>
        <w:noProof/>
        <w:sz w:val="22"/>
        <w:szCs w:val="22"/>
        <w:lang w:val="sr-Latn-CS"/>
      </w:rPr>
      <w:fldChar w:fldCharType="end"/>
    </w:r>
    <w:r w:rsidRPr="002A2797">
      <w:rPr>
        <w:rFonts w:ascii="Arial" w:hAnsi="Arial" w:cs="Arial"/>
        <w:noProof/>
        <w:sz w:val="22"/>
        <w:szCs w:val="22"/>
        <w:lang w:val="sr-Latn-CS"/>
      </w:rPr>
      <w:t xml:space="preserve"> - </w:t>
    </w:r>
  </w:p>
  <w:p w:rsidR="00E81DA7" w:rsidRPr="002A2797" w:rsidRDefault="00A460C3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97" w:rsidRDefault="002A27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A6"/>
    <w:rsid w:val="00010FA6"/>
    <w:rsid w:val="000353F7"/>
    <w:rsid w:val="00177813"/>
    <w:rsid w:val="002A2797"/>
    <w:rsid w:val="002B12A7"/>
    <w:rsid w:val="003064C9"/>
    <w:rsid w:val="003620FB"/>
    <w:rsid w:val="003E2518"/>
    <w:rsid w:val="00680E7D"/>
    <w:rsid w:val="00823002"/>
    <w:rsid w:val="0094478E"/>
    <w:rsid w:val="009D78F5"/>
    <w:rsid w:val="00A460C3"/>
    <w:rsid w:val="00A8074D"/>
    <w:rsid w:val="00A83384"/>
    <w:rsid w:val="00AC6196"/>
    <w:rsid w:val="00AC6CB7"/>
    <w:rsid w:val="00AF5785"/>
    <w:rsid w:val="00B5266C"/>
    <w:rsid w:val="00BB211F"/>
    <w:rsid w:val="00C85A0B"/>
    <w:rsid w:val="00D263A4"/>
    <w:rsid w:val="00E306A9"/>
    <w:rsid w:val="00F61E59"/>
    <w:rsid w:val="00FB7DB4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F3242-4C29-4CDA-8A18-A550498C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FA6"/>
    <w:pPr>
      <w:spacing w:after="0" w:line="240" w:lineRule="auto"/>
    </w:pPr>
    <w:rPr>
      <w:rFonts w:ascii="YuCiril Times" w:eastAsia="Times New Roman" w:hAnsi="YuCiril Times" w:cs="Times New Roman"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0FA6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10FA6"/>
    <w:rPr>
      <w:rFonts w:ascii="YuCiril Times" w:eastAsia="Times New Roman" w:hAnsi="YuCiril Times" w:cs="Times New Roman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10FA6"/>
    <w:rPr>
      <w:b/>
      <w:bCs/>
    </w:rPr>
  </w:style>
  <w:style w:type="paragraph" w:customStyle="1" w:styleId="Default">
    <w:name w:val="Default"/>
    <w:rsid w:val="00010F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2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797"/>
    <w:rPr>
      <w:rFonts w:ascii="YuCiril Times" w:eastAsia="Times New Roman" w:hAnsi="YuCiril Times" w:cs="Times New Roman"/>
      <w:sz w:val="3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Arsic</dc:creator>
  <cp:keywords/>
  <dc:description/>
  <cp:lastModifiedBy>Nenad Zdraljevic</cp:lastModifiedBy>
  <cp:revision>2</cp:revision>
  <cp:lastPrinted>2018-05-28T08:18:00Z</cp:lastPrinted>
  <dcterms:created xsi:type="dcterms:W3CDTF">2018-05-29T11:45:00Z</dcterms:created>
  <dcterms:modified xsi:type="dcterms:W3CDTF">2018-05-29T11:45:00Z</dcterms:modified>
</cp:coreProperties>
</file>